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Criterio 15.- Arbitrajes </w:t>
      </w:r>
    </w:p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Equidad.- El arbitraje, incluido el otorgamiento del laudo se minutará conforme a </w:t>
      </w:r>
      <w:smartTag w:uri="urn:schemas-microsoft-com:office:smarttags" w:element="PersonName">
        <w:smartTagPr>
          <w:attr w:name="ProductID" w:val="la Escala Tipo. Se"/>
        </w:smartTagPr>
        <w:r>
          <w:rPr>
            <w:sz w:val="18"/>
            <w:szCs w:val="18"/>
          </w:rPr>
          <w:t>la Escala Tipo. Se</w:t>
        </w:r>
      </w:smartTag>
      <w:r>
        <w:rPr>
          <w:sz w:val="18"/>
          <w:szCs w:val="18"/>
        </w:rPr>
        <w:t xml:space="preserve"> tomará como base el contenido económico del arbitraje, y si no fuera determinable se tendrá en cuenta como base 19.800 €, a partir de 605€. Si fueran 3 los árbitros se tomará como base el 175% de la cantidad que se determine conforme al supuesto anterior, repartiéndose su importe, cada uno a partir de 305€ </w:t>
      </w:r>
    </w:p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Derecho.- Se minutará conforme a la regla anterior incrementado en un 25%. </w:t>
      </w:r>
    </w:p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Los Letrados directores de las partes percibirán sus honorarios por el 80% de lo que se establece en la norma anterior para los árbitros, a partir cada uno de 485€ </w:t>
      </w:r>
    </w:p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En la formalización del compromiso se minutará conforme al 20% de </w:t>
      </w:r>
      <w:smartTag w:uri="urn:schemas-microsoft-com:office:smarttags" w:element="PersonName">
        <w:smartTagPr>
          <w:attr w:name="ProductID" w:val="la Escala Tipo"/>
        </w:smartTagPr>
        <w:r>
          <w:rPr>
            <w:sz w:val="18"/>
            <w:szCs w:val="18"/>
          </w:rPr>
          <w:t>la Escala Tipo</w:t>
        </w:r>
      </w:smartTag>
      <w:r>
        <w:rPr>
          <w:sz w:val="18"/>
          <w:szCs w:val="18"/>
        </w:rPr>
        <w:t xml:space="preserve">, a partir de 245€ </w:t>
      </w:r>
    </w:p>
    <w:p w:rsidR="00CB43F8" w:rsidRDefault="00CB43F8" w:rsidP="00CB43F8">
      <w:pPr>
        <w:pStyle w:val="Default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En la oposición al arbitraje, ante el Colegio arbitral se minutará el 20% del asunto principal, a partir de 245€ </w:t>
      </w:r>
    </w:p>
    <w:p w:rsidR="00CB43F8" w:rsidRDefault="00CB43F8" w:rsidP="00CB43F8">
      <w:pPr>
        <w:pStyle w:val="Default"/>
        <w:rPr>
          <w:rFonts w:cs="Times New Roman"/>
          <w:color w:val="auto"/>
        </w:rPr>
      </w:pPr>
    </w:p>
    <w:sectPr w:rsidR="00CB4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B43F8"/>
    <w:rsid w:val="00C31E73"/>
    <w:rsid w:val="00CB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CB43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CB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 15</vt:lpstr>
    </vt:vector>
  </TitlesOfParts>
  <Company>camara de segovia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 15</dc:title>
  <dc:subject/>
  <dc:creator>rafael aznar</dc:creator>
  <cp:keywords/>
  <dc:description/>
  <cp:lastModifiedBy>Usuario</cp:lastModifiedBy>
  <cp:revision>2</cp:revision>
  <cp:lastPrinted>2012-11-29T12:38:00Z</cp:lastPrinted>
  <dcterms:created xsi:type="dcterms:W3CDTF">2015-03-16T11:12:00Z</dcterms:created>
  <dcterms:modified xsi:type="dcterms:W3CDTF">2015-03-16T11:12:00Z</dcterms:modified>
</cp:coreProperties>
</file>